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8E4" w:rsidRPr="00417567" w:rsidRDefault="00417567">
      <w:pPr>
        <w:rPr>
          <w:rFonts w:ascii="Times New Roman" w:eastAsia="仿宋_GB2312" w:hAnsi="Times New Roman" w:cs="仿宋_GB2312"/>
          <w:sz w:val="24"/>
        </w:rPr>
      </w:pPr>
      <w:r w:rsidRPr="00417567">
        <w:rPr>
          <w:rFonts w:ascii="Times New Roman" w:eastAsia="仿宋_GB2312" w:hAnsi="Times New Roman" w:cs="仿宋_GB2312" w:hint="eastAsia"/>
          <w:sz w:val="24"/>
        </w:rPr>
        <w:t>附件</w:t>
      </w:r>
      <w:r w:rsidRPr="00417567">
        <w:rPr>
          <w:rFonts w:ascii="Times New Roman" w:eastAsia="仿宋_GB2312" w:hAnsi="Times New Roman" w:cs="仿宋_GB2312" w:hint="eastAsia"/>
          <w:sz w:val="24"/>
        </w:rPr>
        <w:t>2</w:t>
      </w:r>
      <w:r w:rsidRPr="00417567">
        <w:rPr>
          <w:rFonts w:ascii="Times New Roman" w:eastAsia="仿宋_GB2312" w:hAnsi="Times New Roman" w:cs="仿宋_GB2312" w:hint="eastAsia"/>
          <w:sz w:val="24"/>
        </w:rPr>
        <w:t>：</w:t>
      </w:r>
    </w:p>
    <w:p w:rsidR="00417567" w:rsidRPr="00417567" w:rsidRDefault="00417567" w:rsidP="00417567">
      <w:pPr>
        <w:widowControl/>
        <w:spacing w:before="100" w:after="100" w:line="360" w:lineRule="auto"/>
        <w:ind w:left="140" w:firstLine="2"/>
        <w:jc w:val="center"/>
        <w:rPr>
          <w:rFonts w:ascii="Times New Roman" w:hAnsi="Times New Roman" w:cs="Calibri"/>
          <w:b/>
          <w:color w:val="000000"/>
          <w:sz w:val="28"/>
        </w:rPr>
      </w:pPr>
      <w:bookmarkStart w:id="0" w:name="_GoBack"/>
      <w:r w:rsidRPr="00417567">
        <w:rPr>
          <w:rFonts w:ascii="Times New Roman" w:hAnsi="Times New Roman" w:cs="Calibri" w:hint="eastAsia"/>
          <w:b/>
          <w:color w:val="000000"/>
          <w:sz w:val="28"/>
        </w:rPr>
        <w:t>中国矿业大学</w:t>
      </w:r>
      <w:r w:rsidRPr="00417567">
        <w:rPr>
          <w:rFonts w:ascii="Times New Roman" w:hAnsi="Times New Roman" w:cs="Calibri"/>
          <w:b/>
          <w:color w:val="000000"/>
          <w:sz w:val="28"/>
        </w:rPr>
        <w:t>环测学院</w:t>
      </w:r>
      <w:r w:rsidRPr="00417567">
        <w:rPr>
          <w:rFonts w:ascii="Times New Roman" w:hAnsi="Times New Roman" w:cs="Calibri" w:hint="eastAsia"/>
          <w:b/>
          <w:color w:val="000000"/>
          <w:sz w:val="28"/>
        </w:rPr>
        <w:t>2019</w:t>
      </w:r>
      <w:r w:rsidRPr="00417567">
        <w:rPr>
          <w:rFonts w:ascii="Times New Roman" w:hAnsi="Times New Roman" w:cs="Calibri" w:hint="eastAsia"/>
          <w:b/>
          <w:color w:val="000000"/>
          <w:sz w:val="28"/>
        </w:rPr>
        <w:t>届</w:t>
      </w:r>
      <w:r w:rsidRPr="00417567">
        <w:rPr>
          <w:rFonts w:ascii="Times New Roman" w:hAnsi="Times New Roman" w:cs="Calibri"/>
          <w:b/>
          <w:color w:val="000000"/>
          <w:sz w:val="28"/>
        </w:rPr>
        <w:t>毕业生基本情况</w:t>
      </w:r>
      <w:bookmarkEnd w:id="0"/>
    </w:p>
    <w:tbl>
      <w:tblPr>
        <w:tblW w:w="8647" w:type="dxa"/>
        <w:jc w:val="center"/>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0"/>
        <w:gridCol w:w="992"/>
        <w:gridCol w:w="1134"/>
        <w:gridCol w:w="5641"/>
      </w:tblGrid>
      <w:tr w:rsidR="00417567" w:rsidTr="00201CD5">
        <w:trPr>
          <w:trHeight w:val="657"/>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hAnsi="Times New Roman" w:cs="Calibri"/>
                <w:b/>
                <w:bCs/>
                <w:szCs w:val="21"/>
              </w:rPr>
            </w:pPr>
            <w:r>
              <w:rPr>
                <w:rFonts w:ascii="Times New Roman" w:eastAsia="仿宋_GB2312" w:hAnsi="Times New Roman" w:cs="仿宋_GB2312" w:hint="eastAsia"/>
                <w:b/>
                <w:bCs/>
                <w:kern w:val="0"/>
                <w:szCs w:val="21"/>
                <w:lang w:bidi="ar"/>
              </w:rPr>
              <w:t>专业</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hAnsi="Times New Roman" w:cs="Calibri"/>
                <w:b/>
                <w:bCs/>
                <w:szCs w:val="21"/>
              </w:rPr>
            </w:pPr>
            <w:r>
              <w:rPr>
                <w:rFonts w:ascii="Times New Roman" w:eastAsia="仿宋_GB2312" w:hAnsi="Times New Roman" w:cs="仿宋_GB2312" w:hint="eastAsia"/>
                <w:b/>
                <w:bCs/>
                <w:kern w:val="0"/>
                <w:szCs w:val="21"/>
                <w:lang w:bidi="ar"/>
              </w:rPr>
              <w:t>毕业本科生数</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hAnsi="Times New Roman" w:cs="Calibri"/>
                <w:b/>
                <w:bCs/>
                <w:szCs w:val="21"/>
              </w:rPr>
            </w:pPr>
            <w:r>
              <w:rPr>
                <w:rFonts w:ascii="Times New Roman" w:eastAsia="仿宋_GB2312" w:hAnsi="Times New Roman" w:cs="仿宋_GB2312" w:hint="eastAsia"/>
                <w:b/>
                <w:bCs/>
                <w:kern w:val="0"/>
                <w:szCs w:val="21"/>
                <w:lang w:bidi="ar"/>
              </w:rPr>
              <w:t>毕业研究生数</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hAnsi="Times New Roman" w:cs="Calibri"/>
                <w:b/>
                <w:bCs/>
                <w:szCs w:val="21"/>
              </w:rPr>
            </w:pPr>
            <w:r>
              <w:rPr>
                <w:rFonts w:ascii="Times New Roman" w:eastAsia="仿宋_GB2312" w:hAnsi="Times New Roman" w:cs="仿宋_GB2312" w:hint="eastAsia"/>
                <w:b/>
                <w:bCs/>
                <w:kern w:val="0"/>
                <w:szCs w:val="21"/>
                <w:lang w:bidi="ar"/>
              </w:rPr>
              <w:t>毕业生素质</w:t>
            </w:r>
          </w:p>
        </w:tc>
      </w:tr>
      <w:tr w:rsidR="00417567" w:rsidTr="00201CD5">
        <w:trPr>
          <w:trHeight w:val="1445"/>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测绘</w:t>
            </w:r>
            <w:r>
              <w:rPr>
                <w:rFonts w:ascii="Times New Roman" w:eastAsia="仿宋_GB2312" w:hAnsi="Times New Roman" w:cs="仿宋_GB2312"/>
                <w:color w:val="000000"/>
                <w:kern w:val="0"/>
                <w:szCs w:val="21"/>
                <w:lang w:bidi="ar"/>
              </w:rPr>
              <w:t>工程</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129</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36</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具备扎实的数学物理基础、熟练的计算机应用能力，系统地掌握测绘基础知识、基本理论和基本技能，掌握前沿测绘技术，富有创新意识和实践能力；具有从事国家基础测绘、地理国情监测、城市及区域规划测绘、地面及地下工程测量、资源勘察与开发利用、测绘管理、变形监测与沉陷控制、测绘数据处理及软件开发能力。</w:t>
            </w:r>
          </w:p>
        </w:tc>
      </w:tr>
      <w:tr w:rsidR="00417567" w:rsidTr="00201CD5">
        <w:trPr>
          <w:trHeight w:val="1445"/>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地理信息</w:t>
            </w:r>
            <w:r>
              <w:rPr>
                <w:rFonts w:ascii="Times New Roman" w:eastAsia="仿宋_GB2312" w:hAnsi="Times New Roman" w:cs="仿宋_GB2312"/>
                <w:color w:val="000000"/>
                <w:kern w:val="0"/>
                <w:szCs w:val="21"/>
                <w:lang w:bidi="ar"/>
              </w:rPr>
              <w:t>科学</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97</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具有地理信息科学、</w:t>
            </w:r>
            <w:r>
              <w:rPr>
                <w:rFonts w:ascii="Times New Roman" w:eastAsia="仿宋_GB2312" w:hAnsi="Times New Roman" w:cs="仿宋_GB2312" w:hint="eastAsia"/>
                <w:color w:val="000000"/>
                <w:kern w:val="0"/>
                <w:szCs w:val="21"/>
                <w:lang w:bidi="ar"/>
              </w:rPr>
              <w:t xml:space="preserve"> 3S </w:t>
            </w:r>
            <w:r>
              <w:rPr>
                <w:rFonts w:ascii="Times New Roman" w:eastAsia="仿宋_GB2312" w:hAnsi="Times New Roman" w:cs="仿宋_GB2312" w:hint="eastAsia"/>
                <w:color w:val="000000"/>
                <w:kern w:val="0"/>
                <w:szCs w:val="21"/>
                <w:lang w:bidi="ar"/>
              </w:rPr>
              <w:t>集成与应用，及相关信息处理和分析能力。能在科研机构、高等院校、城建、市政、国土、规划、测绘、环境、地勘、矿山、交通、水利、农林、不动产、信息产业、商业等领域从事遥感和地理信息科学相关的教学、科学研究、设计、</w:t>
            </w:r>
            <w:r>
              <w:rPr>
                <w:rFonts w:ascii="Times New Roman" w:eastAsia="仿宋_GB2312" w:hAnsi="Times New Roman" w:cs="仿宋_GB2312" w:hint="eastAsia"/>
                <w:color w:val="000000"/>
                <w:kern w:val="0"/>
                <w:szCs w:val="21"/>
                <w:lang w:bidi="ar"/>
              </w:rPr>
              <w:t xml:space="preserve"> </w:t>
            </w:r>
            <w:r>
              <w:rPr>
                <w:rFonts w:ascii="Times New Roman" w:eastAsia="仿宋_GB2312" w:hAnsi="Times New Roman" w:cs="仿宋_GB2312" w:hint="eastAsia"/>
                <w:color w:val="000000"/>
                <w:kern w:val="0"/>
                <w:szCs w:val="21"/>
                <w:lang w:bidi="ar"/>
              </w:rPr>
              <w:t>开发、管理等工作。</w:t>
            </w:r>
          </w:p>
        </w:tc>
      </w:tr>
      <w:tr w:rsidR="00417567" w:rsidTr="00201CD5">
        <w:trPr>
          <w:trHeight w:val="1445"/>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环境工程</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color w:val="000000"/>
                <w:kern w:val="0"/>
                <w:szCs w:val="21"/>
                <w:lang w:bidi="ar"/>
              </w:rPr>
              <w:t>146</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44</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可在设计院、研究院、工程公司、污染治理设备设计与制造企业从事环境工程科研、设计和产品开发等工作，在大型厂矿企业从事环境管理和污染设施运行管理，在环境保护局、环境监理站、环境监测站等从事区域环境管理工作。</w:t>
            </w:r>
          </w:p>
        </w:tc>
      </w:tr>
      <w:tr w:rsidR="00417567" w:rsidTr="00201CD5">
        <w:trPr>
          <w:trHeight w:val="1320"/>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环境科学</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10</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E643EB">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具备环境科学方面扎实的基础知识及解决实际环境问题的技能和能力；熟悉和了解本专业的发展进程和学术动态；具备独立从事环境科学研究方案设计、污染防治与修复原理技术研究及成果转化</w:t>
            </w:r>
            <w:r w:rsidR="00E643EB">
              <w:rPr>
                <w:rFonts w:ascii="Times New Roman" w:eastAsia="仿宋_GB2312" w:hAnsi="Times New Roman" w:cs="仿宋_GB2312" w:hint="eastAsia"/>
                <w:color w:val="000000"/>
                <w:kern w:val="0"/>
                <w:szCs w:val="21"/>
                <w:lang w:bidi="ar"/>
              </w:rPr>
              <w:t>、</w:t>
            </w:r>
            <w:r w:rsidR="00E643EB" w:rsidRPr="00E643EB">
              <w:rPr>
                <w:rFonts w:ascii="Times New Roman" w:eastAsia="仿宋_GB2312" w:hAnsi="Times New Roman" w:cs="仿宋_GB2312" w:hint="eastAsia"/>
                <w:color w:val="000000"/>
                <w:kern w:val="0"/>
                <w:szCs w:val="21"/>
                <w:lang w:bidi="ar"/>
              </w:rPr>
              <w:t>土壤与地下水污染修复、环境监测与评价</w:t>
            </w:r>
            <w:r w:rsidR="00E643EB">
              <w:rPr>
                <w:rFonts w:ascii="Times New Roman" w:eastAsia="仿宋_GB2312" w:hAnsi="Times New Roman" w:cs="仿宋_GB2312" w:hint="eastAsia"/>
                <w:color w:val="000000"/>
                <w:kern w:val="0"/>
                <w:szCs w:val="21"/>
                <w:lang w:bidi="ar"/>
              </w:rPr>
              <w:t>的</w:t>
            </w:r>
            <w:r>
              <w:rPr>
                <w:rFonts w:ascii="Times New Roman" w:eastAsia="仿宋_GB2312" w:hAnsi="Times New Roman" w:cs="仿宋_GB2312" w:hint="eastAsia"/>
                <w:color w:val="000000"/>
                <w:kern w:val="0"/>
                <w:szCs w:val="21"/>
                <w:lang w:bidi="ar"/>
              </w:rPr>
              <w:t>能力。具备高度综合的、有扎实宽广的环境知识及解决实际环境问题的技能和能力。了解该学科的发展、现实和动态，能独立开展与本学科相关的研究和教学工作。</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土地资源管理</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color w:val="000000"/>
                <w:kern w:val="0"/>
                <w:szCs w:val="21"/>
                <w:lang w:bidi="ar"/>
              </w:rPr>
              <w:t>78</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21</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涵盖土地资源管理、房地产管理和矿产资源管理三个培养方向，学生被授予工科学位。熟练掌握测量、土地利用规划、土地开发复垦与生态修复、矿产资源规划、土地信息系统、遥感、房地产估价、房地产经营与开发等专业技术，培养工科与管理学科相结合的综合型专业人才。</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大地测量学与测量工程</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45</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要求具有数学、计算机应用方面的基础理论知识，具有坚实而深厚的大地测量学与测量工程的基础理论，深入地了解近代大地测量学与测量工程的进展与动态。熟练掌握大地测量学、测量工程的数据采集、资料综合分析与处理的理论和方法。熟练掌握英语，能熟练阅读本专业的外文资料，具有一定的写作能力和进行国际学术交流的能力。能主持科研工作和组织工程生产的技术设计、规划和实施，并能熟练进行大地测量学与测量工程的信息加工与处理，具有从事与相关学科交叉的科学研究能力，能够从事学科前沿的创新研究工作。</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lastRenderedPageBreak/>
              <w:t>地图制图学与地理信息工程</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13</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掌握地图制图学、地理信息系统、数字地图工程、地理空间分析与应用、空间信息建模、大型地图与地图集设计、电子地图设计、地理信息可视化、虚拟以及相关经济、法律、管理学等学科的基本理论、技术和方法，并在数字地图、空间数据模型与管理、空间分析、决策支持及智能化方法、空间信息可视化与传输以及基础地理信息系统和各专门信息系统的研制、设计、分析、应用等方面有较深造诣，具备主持和实施大型研究项目的能力</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摄影测量与遥感</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20</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以航空航天摄影、近景摄影与遥感技术获取的影像，通过对影像的量测、处理、分析和解译来获取目标及其环境空间信息，以应用于国民经济各部门。本专业主要培养从事摄影测量与遥感生产设计、规划、管理、科研和教学的德智体全面发展高级专门人才。要求掌握摄影测量、遥感和地理信息系统基本理论与作业方法，了解摄影测量与遥感学科的研究进展，能独立承担本专业科研与教学任务，具有组织工程生产的能力。</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自然地理学</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1</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研究地球表层岩石圈、大气圈、水圈、生物圈、土壤圈等相互作用的及其形成演化过程、区域分异、环境资源功能的科学，研究地貌演化和形成规律、气候长期变化的规律和机制，生态环境变化的特征和机制、土壤和土地利用变化对环境的适应和影响、自然环境变化和人类活动的关系，以及海岸环境演化、沉积动力等研究内容主要有中国自然区域及其开发整治、自然资源利用规划与管理、水资源与水环境、自然灾害研究与防治、可持续发展研究和海岸海洋资源开发与管理等科学问题。</w:t>
            </w:r>
          </w:p>
        </w:tc>
      </w:tr>
      <w:tr w:rsidR="00417567" w:rsidTr="00201CD5">
        <w:trPr>
          <w:jc w:val="center"/>
        </w:trPr>
        <w:tc>
          <w:tcPr>
            <w:tcW w:w="880" w:type="dxa"/>
            <w:tcBorders>
              <w:top w:val="single" w:sz="8" w:space="0" w:color="000000"/>
              <w:left w:val="single" w:sz="8" w:space="0" w:color="000000"/>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数字矿山与沉陷控制工程</w:t>
            </w:r>
          </w:p>
        </w:tc>
        <w:tc>
          <w:tcPr>
            <w:tcW w:w="992"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sidRPr="00416322">
              <w:rPr>
                <w:rFonts w:ascii="Times New Roman" w:eastAsia="仿宋_GB2312" w:hAnsi="Times New Roman" w:cs="仿宋_GB2312"/>
                <w:color w:val="000000"/>
                <w:kern w:val="0"/>
                <w:sz w:val="24"/>
                <w:szCs w:val="21"/>
                <w:lang w:bidi="ar"/>
              </w:rPr>
              <w:t>/</w:t>
            </w:r>
          </w:p>
        </w:tc>
        <w:tc>
          <w:tcPr>
            <w:tcW w:w="1134" w:type="dxa"/>
            <w:tcBorders>
              <w:top w:val="single" w:sz="8" w:space="0" w:color="000000"/>
              <w:left w:val="dotted" w:sz="8" w:space="0" w:color="auto"/>
              <w:bottom w:val="single" w:sz="8" w:space="0" w:color="000000"/>
              <w:right w:val="dotted" w:sz="8" w:space="0" w:color="auto"/>
            </w:tcBorders>
            <w:shd w:val="clear" w:color="auto" w:fill="auto"/>
            <w:tcMar>
              <w:top w:w="0" w:type="dxa"/>
              <w:left w:w="108" w:type="dxa"/>
              <w:bottom w:w="0" w:type="dxa"/>
              <w:right w:w="108" w:type="dxa"/>
            </w:tcMar>
            <w:vAlign w:val="center"/>
          </w:tcPr>
          <w:p w:rsidR="00417567" w:rsidRDefault="00417567" w:rsidP="00201CD5">
            <w:pPr>
              <w:widowControl/>
              <w:jc w:val="center"/>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2</w:t>
            </w:r>
          </w:p>
        </w:tc>
        <w:tc>
          <w:tcPr>
            <w:tcW w:w="5641" w:type="dxa"/>
            <w:tcBorders>
              <w:top w:val="single" w:sz="8" w:space="0" w:color="000000"/>
              <w:left w:val="dotted" w:sz="8" w:space="0" w:color="auto"/>
              <w:bottom w:val="single" w:sz="8" w:space="0" w:color="000000"/>
              <w:right w:val="single" w:sz="8" w:space="0" w:color="000000"/>
            </w:tcBorders>
            <w:shd w:val="clear" w:color="auto" w:fill="auto"/>
            <w:tcMar>
              <w:top w:w="0" w:type="dxa"/>
              <w:left w:w="108" w:type="dxa"/>
              <w:bottom w:w="0" w:type="dxa"/>
              <w:right w:w="108" w:type="dxa"/>
            </w:tcMar>
          </w:tcPr>
          <w:p w:rsidR="00417567" w:rsidRDefault="00417567" w:rsidP="00201CD5">
            <w:pPr>
              <w:widowControl/>
              <w:rPr>
                <w:rFonts w:ascii="Times New Roman" w:eastAsia="仿宋_GB2312" w:hAnsi="Times New Roman" w:cs="仿宋_GB2312"/>
                <w:color w:val="000000"/>
                <w:kern w:val="0"/>
                <w:szCs w:val="21"/>
                <w:lang w:bidi="ar"/>
              </w:rPr>
            </w:pPr>
            <w:r>
              <w:rPr>
                <w:rFonts w:ascii="Times New Roman" w:eastAsia="仿宋_GB2312" w:hAnsi="Times New Roman" w:cs="仿宋_GB2312" w:hint="eastAsia"/>
                <w:color w:val="000000"/>
                <w:kern w:val="0"/>
                <w:szCs w:val="21"/>
                <w:lang w:bidi="ar"/>
              </w:rPr>
              <w:t>掌握坚实数字矿山与沉陷控制工程的基础理论和系统的专门知识，具有从事数字矿山与沉陷控制工程相关科学研究、教学、管理或独立担负专门技术工作能力、富有创新精神的高级专门人才。</w:t>
            </w:r>
          </w:p>
        </w:tc>
      </w:tr>
    </w:tbl>
    <w:p w:rsidR="00417567" w:rsidRPr="00417567" w:rsidRDefault="00417567">
      <w:pPr>
        <w:rPr>
          <w:rFonts w:ascii="Times New Roman" w:eastAsia="仿宋_GB2312" w:hAnsi="Times New Roman" w:cs="仿宋_GB2312"/>
        </w:rPr>
      </w:pPr>
    </w:p>
    <w:sectPr w:rsidR="00417567" w:rsidRPr="004175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69F" w:rsidRDefault="009D169F" w:rsidP="00417567">
      <w:r>
        <w:separator/>
      </w:r>
    </w:p>
  </w:endnote>
  <w:endnote w:type="continuationSeparator" w:id="0">
    <w:p w:rsidR="009D169F" w:rsidRDefault="009D169F" w:rsidP="0041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69F" w:rsidRDefault="009D169F" w:rsidP="00417567">
      <w:r>
        <w:separator/>
      </w:r>
    </w:p>
  </w:footnote>
  <w:footnote w:type="continuationSeparator" w:id="0">
    <w:p w:rsidR="009D169F" w:rsidRDefault="009D169F" w:rsidP="00417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B7"/>
    <w:rsid w:val="002878E4"/>
    <w:rsid w:val="002B3EAD"/>
    <w:rsid w:val="00327246"/>
    <w:rsid w:val="00370E0B"/>
    <w:rsid w:val="003E598A"/>
    <w:rsid w:val="00416322"/>
    <w:rsid w:val="00417567"/>
    <w:rsid w:val="00445D7B"/>
    <w:rsid w:val="00461BF9"/>
    <w:rsid w:val="004B24BD"/>
    <w:rsid w:val="005D32BC"/>
    <w:rsid w:val="00643CDE"/>
    <w:rsid w:val="006C339A"/>
    <w:rsid w:val="00732499"/>
    <w:rsid w:val="008D563F"/>
    <w:rsid w:val="009A353A"/>
    <w:rsid w:val="009D169F"/>
    <w:rsid w:val="00A011C0"/>
    <w:rsid w:val="00A4425B"/>
    <w:rsid w:val="00BC6C17"/>
    <w:rsid w:val="00BF10B9"/>
    <w:rsid w:val="00CD0EFC"/>
    <w:rsid w:val="00D7485F"/>
    <w:rsid w:val="00DB5042"/>
    <w:rsid w:val="00DC15B7"/>
    <w:rsid w:val="00E643EB"/>
    <w:rsid w:val="00EC197E"/>
    <w:rsid w:val="00F5504C"/>
    <w:rsid w:val="00F67E17"/>
    <w:rsid w:val="00F72D52"/>
    <w:rsid w:val="03321B22"/>
    <w:rsid w:val="069B46BB"/>
    <w:rsid w:val="0A1654DC"/>
    <w:rsid w:val="0B212D13"/>
    <w:rsid w:val="0C3F4B92"/>
    <w:rsid w:val="13692C25"/>
    <w:rsid w:val="16811DA9"/>
    <w:rsid w:val="1A2B5774"/>
    <w:rsid w:val="1B8521E0"/>
    <w:rsid w:val="1C587723"/>
    <w:rsid w:val="1EDA0286"/>
    <w:rsid w:val="1F0A33C4"/>
    <w:rsid w:val="25270609"/>
    <w:rsid w:val="29CA5FAE"/>
    <w:rsid w:val="2ACB3B4E"/>
    <w:rsid w:val="2B0321C9"/>
    <w:rsid w:val="2DB7301A"/>
    <w:rsid w:val="3078146A"/>
    <w:rsid w:val="346919CD"/>
    <w:rsid w:val="36E9315A"/>
    <w:rsid w:val="384B0E6E"/>
    <w:rsid w:val="39A773C5"/>
    <w:rsid w:val="3BFE2158"/>
    <w:rsid w:val="3C20418B"/>
    <w:rsid w:val="3F9E343E"/>
    <w:rsid w:val="40546DC6"/>
    <w:rsid w:val="44C63776"/>
    <w:rsid w:val="44F676FB"/>
    <w:rsid w:val="46F775F0"/>
    <w:rsid w:val="49610DB2"/>
    <w:rsid w:val="4A2B4F94"/>
    <w:rsid w:val="4CB0777F"/>
    <w:rsid w:val="4F3177C0"/>
    <w:rsid w:val="545C014D"/>
    <w:rsid w:val="54A04EBB"/>
    <w:rsid w:val="55FF78AA"/>
    <w:rsid w:val="575F7227"/>
    <w:rsid w:val="576D6809"/>
    <w:rsid w:val="57B90D07"/>
    <w:rsid w:val="5E2B657A"/>
    <w:rsid w:val="70174BB1"/>
    <w:rsid w:val="753037B5"/>
    <w:rsid w:val="769F63FF"/>
    <w:rsid w:val="7FF7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045E5-D2C6-43AD-AC80-3EF05CA1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 w:type="paragraph" w:styleId="a6">
    <w:name w:val="Balloon Text"/>
    <w:basedOn w:val="a"/>
    <w:link w:val="Char1"/>
    <w:rsid w:val="00F67E17"/>
    <w:rPr>
      <w:sz w:val="18"/>
      <w:szCs w:val="18"/>
    </w:rPr>
  </w:style>
  <w:style w:type="character" w:customStyle="1" w:styleId="Char1">
    <w:name w:val="批注框文本 Char"/>
    <w:basedOn w:val="a0"/>
    <w:link w:val="a6"/>
    <w:rsid w:val="00F67E1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266</Words>
  <Characters>1521</Characters>
  <Application>Microsoft Office Word</Application>
  <DocSecurity>0</DocSecurity>
  <Lines>12</Lines>
  <Paragraphs>3</Paragraphs>
  <ScaleCrop>false</ScaleCrop>
  <Company>CUMT</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dc:creator>
  <cp:lastModifiedBy>admin</cp:lastModifiedBy>
  <cp:revision>19</cp:revision>
  <cp:lastPrinted>2019-01-09T08:42:00Z</cp:lastPrinted>
  <dcterms:created xsi:type="dcterms:W3CDTF">2014-10-29T12:08:00Z</dcterms:created>
  <dcterms:modified xsi:type="dcterms:W3CDTF">2019-01-30T02:47:00Z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